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24 153 vom 31. Oktober 2024</w:t>
      </w:r>
    </w:p>
    <w:p>
      <w:r>
        <w:t>BL Gerichte, 2024-10-31, DE</w:t>
      </w:r>
    </w:p>
    <w:p>
      <w:r>
        <w:rPr>
          <w:b/>
        </w:rPr>
        <w:t xml:space="preserve">Quelle: </w:t>
      </w:r>
      <w:r>
        <w:t>https://mcp.opencaselaw.ch/entscheid/bl_gerichte_720 24 153</w:t>
      </w:r>
    </w:p>
    <w:p>
      <w:r>
        <w:t>FR: BL_GERICHTE 720 24 153 du 31 octobre 2024</w:t>
      </w:r>
    </w:p>
    <w:p>
      <w:r>
        <w:t>IT: BL_GERICHTE 720 24 153 del 31 ottobre 2024</w:t>
      </w:r>
    </w:p>
    <w:p>
      <w:pPr>
        <w:pStyle w:val="Heading2"/>
      </w:pPr>
      <w:r>
        <w:t>Regeste</w:t>
      </w:r>
    </w:p>
    <w:p>
      <w:r>
        <w:t>Die dem Versicherten während eines Zeitraums von 25 Jahren ohne Unterbruch gewährte Hilfsmittelversorgung ist als Dauerleistung im Sinne von Art. 17 Abs. 2 ATSG zu qualifizieren. Sie kann demnach nur aufgehoben werden, wenn sich der ihr zu Grunde liegende Sachverhalt nachträglich erheblich verändert hat.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27. Mai 2024 ist demnach einzutreten. 2.1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Massnahmen gehört nach Art. 8 Abs. 3 lit. d IVG die Abgabe von Hilfsmitteln. 2.2 Nach Art. 21 Abs. 1 IVG hat die versicherte Person im Rahmen einer vom Bundesrat aufzustellenden Liste Anspruch auf jene Hilfsmittel, deren sie für die Ausübung der Erwerbstätigkeit oder der Tätigkeit im Aufgabenbereich, zur Erhaltung oder Verbesserung der Erwerbstätigkeit, für die Schulung, die Aus- und Weiterbildung oder zum Zwecke der funktionellen Angewöhnung bedarf. Die Befugnis zur Aufstellung der Hilfsmittelliste hat der Bundesrat in Art. 14 der Verordnung über die Invalidenversicherung (IVV) vom 17. Januar 1961 an das Eidgenössische Departement des Innern (EDI) übertragen. Dieses hat gestützt auf die Subdelegation die Verordnung über die Abgabe von Hilfsmitteln durch die Invalidenversicherung (HVI) vom 29. November 1976 mit anhangsweise aufgeführter Hilfsmittelliste erlassen. Gemäss Art. 2 Abs. 2 HVI muss ein im Anhang der Liste mit (*) bezeichnetes Hilfsmittel für die Ausübung der Erwerbstätigkeit oder die Tätigkeit im Aufgabenbereich, für die Schulung, die Ausbildung, die funktionelle Angewöhnung oder für die in der zutreffenden Ziffer des Anhangs ausdrücklich genannte Tätigkeit notwendig sein. Im Weiteren unterliegt eine Hilfsmittelversorgung den allgemeinen Anspruchsvoraussetzungen des Art. 8 IVG (Geeignetheit, Erforderlichkeit, Eingliederungswirksamkeit; Urteil des damaligen Eidgenössischen Versicherungsgerichts [EVG; heute Bundesgericht, III. und IV. öffentlichrechtliche Abteilungen] vom 3. Dezember 2003, I 827/02, E. 4.1 mit Hinweis). 2.3 Gemäss Ziff. 10 des Anhangs der HVI besteht der Anspruch auf Motorfahrzeuge und Invalidenfahrzeuge als Hilfsmittel für Versicherte, die voraussichtlich dauernd eine existenzsichernde Erwerbstätigkeit ausüben und zur Überwindung des Arbeitsweges auf ein persönliches Motorfahrzeug angewiesen sind. Laut Ziff. 10.04* beträgt der jährliche Amortisationsbeitrag für Automobile Fr. 3'000.--.</w:t>
      </w:r>
    </w:p>
    <w:p>
      <w:r>
        <w:rPr>
          <w:b/>
        </w:rPr>
        <w:t>E. 3</w:t>
      </w:r>
    </w:p>
    <w:p>
      <w:r>
        <w:t>Die IV-Stelle Basel-Landschaft hat dem Beschwerdeführer eine Parteientschädigung in der Höhe von Fr. 2'839.25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